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66F5B">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E66F5B" w:rsidP="001B7D0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برنامج بناء قدرات المؤسسات الوطنية للأحوال المدنية (</w:t>
          </w:r>
          <w:bookmarkStart w:id="0" w:name="_GoBack"/>
          <w:r>
            <w:rPr>
              <w:rFonts w:ascii="Sakkal Majalla" w:hAnsi="Sakkal Majalla" w:cs="Sakkal Majalla"/>
              <w:b/>
              <w:bCs/>
              <w:sz w:val="28"/>
              <w:szCs w:val="28"/>
            </w:rPr>
            <w:t>NOCR-CaB</w:t>
          </w:r>
          <w:bookmarkEnd w:id="0"/>
          <w:r>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66F5B"/>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59A3-C21E-4AA7-B75C-FDFC717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2020-02-07T09:44:00Z</dcterms:modified>
</cp:coreProperties>
</file>